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147</w:t>
      </w:r>
    </w:p>
    <w:p>
      <w:r>
        <w:t>Bundesgericht (BGE), 1979-09-07, DE</w:t>
      </w:r>
    </w:p>
    <w:p>
      <w:r>
        <w:rPr>
          <w:b/>
        </w:rPr>
        <w:t xml:space="preserve">Quelle: </w:t>
      </w:r>
      <w:r>
        <w:t>https://mcp.opencaselaw.ch/entscheid/bge_105 V 147</w:t>
      </w:r>
    </w:p>
    <w:p>
      <w:r>
        <w:t>FR: ATF 105 V 147</w:t>
      </w:r>
    </w:p>
    <w:p>
      <w:r>
        <w:t>IT: DTF 105 V 147</w:t>
      </w:r>
    </w:p>
    <w:p>
      <w:pPr>
        <w:pStyle w:val="Heading2"/>
      </w:pPr>
      <w:r>
        <w:t>Regeste</w:t>
      </w:r>
    </w:p>
    <w:p>
      <w:r>
        <w:t>Regeste Art. 21 Abs. 1, Satz 2, IVG. - Die in dieser Bestimmung erwähnten Hilfsmittel sind auch dann abzugeben, wenn die medizinische Massnahme nicht von der Invalidenversicherung durchgeführt wird. Entscheidend ist, dass die Voraussetzungen der Übernahme der ärztlichen Vorkehr als medizinische Eingliederungsmassnahme der Invalidenversicherung an sich erfüllt sind. - Abgabe von Bifokalbrille und Kontaktlinsen nach Operation einer Cataracta traumatica.</w:t>
      </w:r>
    </w:p>
    <w:p>
      <w:pPr>
        <w:pStyle w:val="Heading2"/>
      </w:pPr>
      <w:r>
        <w:t>Erwägungen</w:t>
      </w:r>
    </w:p>
    <w:p>
      <w:r>
        <w:rPr>
          <w:b/>
        </w:rPr>
        <w:t>E. 1</w:t>
      </w:r>
    </w:p>
    <w:p>
      <w:r>
        <w:t>Der Versicherte hat gemäss Art. 21 Abs. 1 IVG im Rahmen der vom Bundesrat aufgestellten Liste Anspruch auf jene Hilfsmittel, deren er für die Ausübung der Erwerbstätigkeit oder der Tätigkeit in seinem Aufgabenbereich, für die Schulung, die Ausbildung oder zum Zwecke der funktionellen Angewöhnung bedarf. Kosten für Zahnprothesen, Brillen und Schuheinlagen werden nur übernommen, wenn diese Hilfsmittel eine wesentliche Ergänzung medizinischer Eingliederungsmassnahmen bilden. Nach der Rechtsprechung ist es unerheblich, ob es sich dabei um eine von der Invalidenversicherung durchgeführte medizinische Massnahme handelt; entscheidend ist vielmehr, dass die Voraussetzungen der Übernahme der ärztlichen Vorkehr als medizinische Eingliederungsmassnahme der Invalidenversicherung an sich erfüllt wären (ZAK 1964, S. 266, 1965, S. 157; nicht veröffentlichtes Urteil i.S. Kundt vom 29. Dezember 1972). Es ist daher zu prüfen, ob die Operation der Cataracta traumatica, welche offenbar nicht zur Übernahme durch die Invalidenversicherung BGE 105 V 147 S. 149 angemeldet worden war, als Eingliederungsmassnahme im Sinne von Art. 12 IVG qualifizierbar ist.</w:t>
      </w:r>
    </w:p>
    <w:p>
      <w:r>
        <w:rPr>
          <w:b/>
        </w:rPr>
        <w:t>E. 2</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 Invalidenversicherung übernimmt in der Regel nur unmittelbar auf die Beseitigung oder Korrektur stabiler Defektzustände oder Funktionsausfälle gerichtete Vorkehren, welche den gesetzlich vorgeschriebenen Eingliederungserfolg voraussehen lassen ( BGE 104 V 81 Erw. 1). Die Behandlung von Unfallfolgen gehört grundsätzlich ins Gebiet der sozialen Unfallversicherung ( Art. 2 Abs. 4 IVV ; BGE 100 V 34 ). Hingegen können stabile Defekte, die als Folge von Unfällen entstehen, Anlass zu Eingliederungsmassnahmen im Sinn von Art. 12 IVG geben, sofern kein enger sachlicher und zeitlicher Zusammenhang mit der primären Unfallbehandlung besteht. Der enge sachliche Zusammenhang ist gegeben, wenn die medizinische Vorkehr mit der Unfallbehandlung einen einheitlichen Komplex bildet. Für die Beurteilung ist dabei ausschliesslich der Zeitpunkt der Entstehung des Defektes und nicht der Zeitpunkt der Diagnosestellung oder der Durchführung der Massnahme ausschlaggebend. Eine Massnahme, die schon während der Unfallbehandlung als voraussichtlich notwendig erkennbar war, ist keine Eingliederungsmassnahme der Invalidenversicherung ( BGE 102 V 70 Erw. 1). b) Im vorliegenden Fall kann entgegen der Auffassung der Vorinstanz die Staroperation nicht als Behandlung von unmittelbaren Unfallfolgen betrachtet werden. In direktem Zusammenhang mit dem am 22. Mai 1974 erlittenen Unfall stand die Wundversorgung, womit die eigentliche Behandlung der Unfallverletzungen abgeschlossen war. Aus dem Bericht der Augenärztin Dr. med. H. vom 7. Januar 1975 geht nämlich hervor, dass die Staroperation erst "später", nach "langsamer Abnahme der Sehschärfe" durchgeführt wurde. Zwar ist, wie das Bundesamt für Sozialversicherung mit Recht feststellt, der Zeitpunkt der Operation aus den Akten nicht ersichtlich. Dies ist indessen nicht entscheidend; denn wenn es am engen sachlichen Zusammenhang mit der primären Unfallbehandlung gebricht, ist der zeitliche unerheblich. BGE 105 V 147 S. 150</w:t>
      </w:r>
    </w:p>
    <w:p>
      <w:r>
        <w:rPr>
          <w:b/>
        </w:rPr>
        <w:t>E. 3</w:t>
      </w:r>
    </w:p>
    <w:p>
      <w:r>
        <w:t>Kann somit die Staroperation nicht schon wegen engen Zusammenhangs mit dem Unfall als medizinische Eingliederungsmassnahme ausgeschlossen werden, so fragt es sich, ob ihr innerhalb des spezifischen Anwendungsbereichs des Art. 12 IVG Eingliederungscharakter zukommt. a) Die operative Behandlung des grauen Stars ist nicht auf die Heilung labilen pathologischen Geschehens gerichtet, sondern zielt darauf ab, das sonst sicher spontan zur Ruhe gelangende und alsdann stabile oder relativ stabilisierte Leiden durch Entfernung der trüb und daher funktionsuntüchtig gewordenen Linse zu beseitigen ( BGE 103 V 13 Erw. 3a mit Hinweisen). b) Weil in den Akten Anhaltspunkte dafür fehlen, dass voraussehbare Auswirkungen des Unfalls die Wesentlichkeit und Dauerhaftigkeit des Eingliederungserfolges beeinträchtigen könnten ( BGE 103 V 14 ), gilt die beim minderjährigen Beschwerdeführer durchgeführte Operation der Cataracta traumatica als medizinische Eingliederungsmassnahme der Invalidenversicherung. So hat das Eidg. Versicherungsgericht im ähnlich gelagerten Fall Kisslig bereits am 25. August 1964 entschieden (vgl. ZAK 1965, S. 157).</w:t>
      </w:r>
    </w:p>
    <w:p>
      <w:r>
        <w:rPr>
          <w:b/>
        </w:rPr>
        <w:t>E. 4</w:t>
      </w:r>
    </w:p>
    <w:p>
      <w:r>
        <w:t>Aus dem Gesagten folgt, dass die vom Beschwerdeführer als Hilfsmittel beantragte Brille eine wesentliche Ergänzung einer medizinischen Eingliederungsmassnahme gemäss Art. 21 Abs. 1 Satz 2 IVG darstellt. Dasselbe gilt im übrigen entgegen der von der Invalidenversicherungs-Kommission in ihrer Vernehmlassung an die kantonale Rekurskommission vertretenen Ansicht auch für die (bereits abgegebene) Kontaktlinse, welche einer Brille gleichzustellen ist, da sie spezifisch optische Funktionen erfüllt ( BGE 98 V 42 Erw. 2). Dispositiv Demnach erkennt das Eidg. Versicherungsgericht: In Gutheissung der Verwaltungsgerichtsbeschwerde werden der Entscheid der AHV-Rekurskommission des Kantons Zürich vom 13. Juli 1977 sowie die angefochtene Kassenverfügung vom 18. März 1975 (soweit sie die Brille betrifft) aufgehoben. Es wird festgestellt, dass der Beschwerdeführer Anspruch auf Abgabe der Bifokalbrille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